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0" w:rsidRDefault="00A34B10" w:rsidP="00A34B10">
      <w:pPr>
        <w:spacing w:after="0" w:line="360" w:lineRule="auto"/>
        <w:ind w:left="-1701" w:firstLine="170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A34B10" w:rsidRDefault="00A34B10" w:rsidP="00A34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 содержания обучения с образовательной самостоятельностью </w:t>
      </w:r>
    </w:p>
    <w:p w:rsidR="00A34B10" w:rsidRDefault="00A34B10" w:rsidP="00A34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инициативой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раскрытия этой темы предполагает ответ на три вопроса: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содержании обучения.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содержании </w:t>
      </w:r>
      <w:r>
        <w:rPr>
          <w:rFonts w:ascii="Times New Roman" w:hAnsi="Times New Roman" w:cs="Times New Roman"/>
          <w:i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. Именно к этому пункту относится разговор о самостоятельности и инициативе ученика.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Наиболее трудный вопрос о том, каковы условия перехода от первого ко второму, от обучения к учению.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О содержании обучения. </w:t>
      </w:r>
      <w:r>
        <w:rPr>
          <w:rFonts w:ascii="Times New Roman" w:hAnsi="Times New Roman" w:cs="Times New Roman"/>
          <w:sz w:val="28"/>
          <w:szCs w:val="28"/>
        </w:rPr>
        <w:t xml:space="preserve">Об этом будем говорить, исходя из теории и практики развивающего обучения. Восстанавливая контекст нетривиальности  вопроса о содержании обучения, хочется напомнить бытовое представление о его содержании. Оно выступает, когда задается абстрактный вопрос: «А чему вы учите?»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 при этом имеется в виду вопрос: «Про что ваши программы обучения?». На эти вопросы, как правило, даются такой же «глубины» ответы: «Мы учим математике, физике и другим дисциплинам, а также учим патриотизму, любви к Родине, просто любви, мышлению и т.д., и т.п.». И только интуитивное чувство меры задает здесь какие-то границы.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Исходная установка развивающего обучения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РО) состоит в том, что содержание, или предметность,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то, </w:t>
      </w:r>
      <w:r>
        <w:rPr>
          <w:rFonts w:ascii="Times New Roman" w:hAnsi="Times New Roman" w:cs="Times New Roman"/>
          <w:i/>
          <w:sz w:val="28"/>
          <w:szCs w:val="28"/>
        </w:rPr>
        <w:t>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дан объект. Не про объект, а про то, как он повернут для рассмотрения. И, соответственно, ответ на вопрос о содержании дается четыре раза: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Содержание есть </w:t>
      </w:r>
      <w:r>
        <w:rPr>
          <w:rFonts w:ascii="Times New Roman" w:hAnsi="Times New Roman" w:cs="Times New Roman"/>
          <w:i/>
          <w:sz w:val="28"/>
          <w:szCs w:val="28"/>
        </w:rPr>
        <w:t>способ построения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культурного предмета. Например, способ построения числа. Содержание понятия числа задано способом построения числа.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развертывая предметности и перехода от одного предмета к другому. Таково восхождение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конкретному.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Это способ удержания и преобразования выстроенной предметности. Здесь инструментами являются модели и схемы.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Это способ рассмотрения посредством схем и моделей разных реальностей. Такова позиция развивающего обучения.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 содержании учения.</w:t>
      </w:r>
      <w:r>
        <w:rPr>
          <w:rFonts w:ascii="Times New Roman" w:hAnsi="Times New Roman" w:cs="Times New Roman"/>
          <w:sz w:val="28"/>
          <w:szCs w:val="28"/>
        </w:rPr>
        <w:t xml:space="preserve"> Что есть учение при так заданном содержании? 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том,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есть учение, – это вопрос о том,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есть вовлеченность человека, или, точнее, полнота его вовлеченности в образовательный процесс. Ответ РО: полнота вовлеченности выражена как степень  самостоятельности и инициативности в построении способа действия.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первоначальный ответ на вопрос о содержании учения. Этот ответ был получен в проекте, который мы вели в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1995 по 2000 год  вместе с О.С. Островерх, О.И, Свиридовой,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а также прекрасными учителями – Р.А. Поздняковой и Л.М. Козловой. (Более подробное описание содержания и результатов проекта содержится в докладе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Островерх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.). Главной задачей проекта было выращивание индивидуального учебного действия у учеников начальной школы. Ответ звучит просто, но парадоксально. Что есть предмет учения младших школьников в РО? Ответ: построение «</w:t>
      </w:r>
      <w:r>
        <w:rPr>
          <w:rFonts w:ascii="Times New Roman" w:hAnsi="Times New Roman" w:cs="Times New Roman"/>
          <w:i/>
          <w:sz w:val="28"/>
          <w:szCs w:val="28"/>
        </w:rPr>
        <w:t>черновика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Т.е. нормативный предмет детской работы, по освоенности которого мы можем сказать, что дети чему-либо научились и вообще вовлечены в учебную жизнь; это не чистовик (т.е. не «вещь» для учителя, отражающая выполнение учительских предписаний), а черновик, т.е.  то «поле», в котором, словами П.Я. Гальперина, строится ориентировочная основа действия. </w:t>
      </w:r>
      <w:proofErr w:type="gramEnd"/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предположение, что и в традиционном обучении можно получить черновик. На него отвечаем: «Можно, но не </w:t>
      </w:r>
      <w:r>
        <w:rPr>
          <w:rFonts w:ascii="Times New Roman" w:hAnsi="Times New Roman" w:cs="Times New Roman"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». Для построения действий ребенка, характерных для традиционного обучения, можно и не строить специально развернутую ориентировочную основу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(т.е. способ поиска) и не выделять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 действия как особый предмет </w:t>
      </w:r>
      <w:r>
        <w:rPr>
          <w:rFonts w:ascii="Times New Roman" w:hAnsi="Times New Roman" w:cs="Times New Roman"/>
          <w:sz w:val="28"/>
          <w:szCs w:val="28"/>
        </w:rPr>
        <w:t xml:space="preserve">внимания и работы. Но для того  содержания, которое разворачивается в РО, это необходимо.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Именно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взаимопереход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между «черновиком» и «чистовиком», т.е. между замыслом и реализацией, образцом и действием, образом и действием,  эскизом и выполнением, должен быть акцентирован как 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первой фазы начальной школы должен доминировать переход от «черновика» к «чистовику», а в дальнейшем (и это мы еще не простроили), должен доминировать переход от «чистовика» к «черновику», т.е. </w:t>
      </w:r>
      <w:r>
        <w:rPr>
          <w:rFonts w:ascii="Times New Roman" w:hAnsi="Times New Roman" w:cs="Times New Roman"/>
          <w:i/>
          <w:sz w:val="28"/>
          <w:szCs w:val="28"/>
        </w:rPr>
        <w:t>преобразование сделанного в опытное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Связность этих двух переходов – основная характеристика </w:t>
      </w:r>
      <w:r>
        <w:rPr>
          <w:rFonts w:ascii="Times New Roman" w:hAnsi="Times New Roman" w:cs="Times New Roman"/>
          <w:i/>
          <w:sz w:val="28"/>
          <w:szCs w:val="28"/>
        </w:rPr>
        <w:t>Пробно-продуктивного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Пробно-продуктивное действие, взятое из фокуса динамики опор и поля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действования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человека, – это Объект современного образования.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Взаимопереход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пробно-испытующего и реализующего модусов действия – его Предмет.</w:t>
      </w:r>
      <w:r>
        <w:rPr>
          <w:rFonts w:ascii="Times New Roman" w:hAnsi="Times New Roman" w:cs="Times New Roman"/>
          <w:sz w:val="28"/>
          <w:szCs w:val="28"/>
        </w:rPr>
        <w:t xml:space="preserve"> Лишь подобная нацеленность образования способствует возникновению и росту учебной самостоятельности и инициативы человека. Выращивание форм пробно-продуктивного действия возможно лишь в ситуациях, когда способ построения и воссоздания культурной формы стал предметом совокупного действия ученика и учителя. Таков и исходный принцип, и вектор эволюции Развивающего Обучения.</w:t>
      </w:r>
    </w:p>
    <w:p w:rsidR="00A34B10" w:rsidRDefault="00A34B10" w:rsidP="00A3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3D" w:rsidRDefault="004C793D"/>
    <w:sectPr w:rsidR="004C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70"/>
    <w:rsid w:val="00096D70"/>
    <w:rsid w:val="004C793D"/>
    <w:rsid w:val="00A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Company>Krokoz™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2013-11-30T07:11:00Z</dcterms:created>
  <dcterms:modified xsi:type="dcterms:W3CDTF">2013-11-30T07:11:00Z</dcterms:modified>
</cp:coreProperties>
</file>